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9D53A7" w:rsidP="00B44FE6">
      <w:pPr>
        <w:pStyle w:val="BodyAudi"/>
        <w:ind w:right="-46"/>
        <w:jc w:val="right"/>
        <w:rPr>
          <w:lang w:val="fr-BE"/>
        </w:rPr>
      </w:pPr>
      <w:r>
        <w:rPr>
          <w:lang w:val="fr-BE"/>
        </w:rPr>
        <w:t>11</w:t>
      </w:r>
      <w:r w:rsidR="00B44FE6" w:rsidRPr="003D24F8">
        <w:rPr>
          <w:lang w:val="fr-BE"/>
        </w:rPr>
        <w:t xml:space="preserve"> </w:t>
      </w:r>
      <w:r>
        <w:rPr>
          <w:lang w:val="fr-BE"/>
        </w:rPr>
        <w:t>janvier</w:t>
      </w:r>
      <w:r w:rsidR="00B44FE6" w:rsidRPr="003D24F8">
        <w:rPr>
          <w:lang w:val="fr-BE"/>
        </w:rPr>
        <w:t xml:space="preserve"> 201</w:t>
      </w:r>
      <w:r>
        <w:rPr>
          <w:lang w:val="fr-BE"/>
        </w:rPr>
        <w:t>9</w:t>
      </w:r>
    </w:p>
    <w:p w:rsidR="00B44FE6" w:rsidRPr="003D24F8" w:rsidRDefault="00B44FE6" w:rsidP="00B44FE6">
      <w:pPr>
        <w:pStyle w:val="BodyAudi"/>
        <w:ind w:right="-46"/>
        <w:jc w:val="right"/>
        <w:rPr>
          <w:lang w:val="fr-BE"/>
        </w:rPr>
      </w:pPr>
      <w:r w:rsidRPr="003D24F8">
        <w:rPr>
          <w:lang w:val="fr-BE"/>
        </w:rPr>
        <w:t>A1</w:t>
      </w:r>
      <w:r w:rsidR="009D53A7">
        <w:rPr>
          <w:lang w:val="fr-BE"/>
        </w:rPr>
        <w:t>9</w:t>
      </w:r>
      <w:r w:rsidRPr="003D24F8">
        <w:rPr>
          <w:lang w:val="fr-BE"/>
        </w:rPr>
        <w:t>/</w:t>
      </w:r>
      <w:r w:rsidR="009D53A7">
        <w:rPr>
          <w:lang w:val="fr-BE"/>
        </w:rPr>
        <w:t>0</w:t>
      </w:r>
      <w:r w:rsidR="00A77B79">
        <w:rPr>
          <w:lang w:val="fr-BE"/>
        </w:rPr>
        <w:t>2</w:t>
      </w:r>
      <w:r w:rsidR="00F942FF" w:rsidRPr="003D24F8">
        <w:rPr>
          <w:lang w:val="fr-BE"/>
        </w:rPr>
        <w:t>F</w:t>
      </w:r>
    </w:p>
    <w:p w:rsidR="00B44FE6" w:rsidRDefault="00B44FE6" w:rsidP="00B40F6C">
      <w:pPr>
        <w:pStyle w:val="BodyAudi"/>
        <w:rPr>
          <w:lang w:val="fr-BE"/>
        </w:rPr>
      </w:pPr>
    </w:p>
    <w:p w:rsidR="005700D3" w:rsidRPr="005700D3" w:rsidRDefault="005700D3" w:rsidP="005700D3">
      <w:pPr>
        <w:pStyle w:val="HeadlineAudi"/>
        <w:rPr>
          <w:lang w:val="fr-BE"/>
        </w:rPr>
      </w:pPr>
      <w:r w:rsidRPr="005700D3">
        <w:rPr>
          <w:lang w:val="fr-BE"/>
        </w:rPr>
        <w:t xml:space="preserve">Audi clôture 2018 avec </w:t>
      </w:r>
      <w:r w:rsidR="009C61A7">
        <w:rPr>
          <w:lang w:val="fr-BE"/>
        </w:rPr>
        <w:t>1.</w:t>
      </w:r>
      <w:r w:rsidRPr="005700D3">
        <w:rPr>
          <w:lang w:val="fr-BE"/>
        </w:rPr>
        <w:t> 812 500 véhicules vendus</w:t>
      </w:r>
    </w:p>
    <w:p w:rsidR="005700D3" w:rsidRPr="005700D3" w:rsidRDefault="005700D3" w:rsidP="005700D3">
      <w:pPr>
        <w:rPr>
          <w:lang w:val="fr-BE"/>
        </w:rPr>
      </w:pPr>
    </w:p>
    <w:p w:rsidR="005700D3" w:rsidRPr="005700D3" w:rsidRDefault="005700D3" w:rsidP="005700D3">
      <w:pPr>
        <w:pStyle w:val="DeckAudi"/>
        <w:rPr>
          <w:lang w:val="fr-BE"/>
        </w:rPr>
      </w:pPr>
      <w:r w:rsidRPr="005700D3">
        <w:rPr>
          <w:lang w:val="fr-BE"/>
        </w:rPr>
        <w:t>L’année se termine avec une baisse de 3,5 % en raison d’une situation compliquée</w:t>
      </w:r>
    </w:p>
    <w:p w:rsidR="005700D3" w:rsidRPr="005700D3" w:rsidRDefault="005700D3" w:rsidP="005700D3">
      <w:pPr>
        <w:pStyle w:val="DeckAudi"/>
        <w:rPr>
          <w:lang w:val="fr-BE"/>
        </w:rPr>
      </w:pPr>
      <w:r w:rsidRPr="005700D3">
        <w:rPr>
          <w:lang w:val="fr-BE"/>
        </w:rPr>
        <w:t>La marque aux quatre anneaux est encore une fois leader sur le marché haut de gamme en Chine</w:t>
      </w:r>
    </w:p>
    <w:p w:rsidR="005700D3" w:rsidRPr="005700D3" w:rsidRDefault="005700D3" w:rsidP="005700D3">
      <w:pPr>
        <w:pStyle w:val="DeckAudi"/>
        <w:rPr>
          <w:lang w:val="fr-BE"/>
        </w:rPr>
      </w:pPr>
      <w:r w:rsidRPr="005700D3">
        <w:rPr>
          <w:lang w:val="fr-BE"/>
        </w:rPr>
        <w:t xml:space="preserve">Bram </w:t>
      </w:r>
      <w:proofErr w:type="spellStart"/>
      <w:r w:rsidRPr="005700D3">
        <w:rPr>
          <w:lang w:val="fr-BE"/>
        </w:rPr>
        <w:t>Schot</w:t>
      </w:r>
      <w:proofErr w:type="spellEnd"/>
      <w:r w:rsidRPr="005700D3">
        <w:rPr>
          <w:lang w:val="fr-BE"/>
        </w:rPr>
        <w:t>, CEO d’Audi : « Se préparer à faire face à de nouveaux défis après une année difficile »</w:t>
      </w:r>
    </w:p>
    <w:p w:rsidR="005700D3" w:rsidRPr="005700D3" w:rsidRDefault="005700D3" w:rsidP="005700D3">
      <w:pPr>
        <w:rPr>
          <w:lang w:val="fr-BE"/>
        </w:rPr>
      </w:pPr>
    </w:p>
    <w:p w:rsidR="005700D3" w:rsidRPr="005700D3" w:rsidRDefault="005700D3" w:rsidP="005700D3">
      <w:pPr>
        <w:pStyle w:val="BodyAudi"/>
        <w:rPr>
          <w:lang w:val="fr-BE"/>
        </w:rPr>
      </w:pPr>
      <w:r w:rsidRPr="005700D3">
        <w:rPr>
          <w:lang w:val="fr-BE"/>
        </w:rPr>
        <w:t>En 2018, Audi a livré environ 1</w:t>
      </w:r>
      <w:r w:rsidR="009C61A7">
        <w:rPr>
          <w:lang w:val="fr-BE"/>
        </w:rPr>
        <w:t>.</w:t>
      </w:r>
      <w:r w:rsidRPr="005700D3">
        <w:rPr>
          <w:lang w:val="fr-BE"/>
        </w:rPr>
        <w:t xml:space="preserve"> 812 500 véhicules dans le monde entier, soit 3,5 % de moins que l’année précédente. En Europe, les ventes ont chuté de 13,6 % au cours des 12 derniers mois. Les Audi A1, A6, A7 et Q3, qui représentent un tiers des ventes, ont </w:t>
      </w:r>
      <w:r w:rsidR="00762C00">
        <w:rPr>
          <w:lang w:val="fr-BE"/>
        </w:rPr>
        <w:t xml:space="preserve">été renouvelées </w:t>
      </w:r>
      <w:r w:rsidRPr="005700D3">
        <w:rPr>
          <w:lang w:val="fr-BE"/>
        </w:rPr>
        <w:t>depuis le début de l’année. Le constructeur basé à Ingolstadt a toutefois réaffirmé sa position de leader sur le marché haut de gamme en Chine pour la 30</w:t>
      </w:r>
      <w:r w:rsidRPr="005700D3">
        <w:rPr>
          <w:vertAlign w:val="superscript"/>
          <w:lang w:val="fr-BE"/>
        </w:rPr>
        <w:t>e</w:t>
      </w:r>
      <w:r w:rsidRPr="005700D3">
        <w:rPr>
          <w:lang w:val="fr-BE"/>
        </w:rPr>
        <w:t xml:space="preserve"> année consécutive. En Amérique du Nord, l’entreprise a terminé l’année avec un chiffre équivalent à celui de l’année précédente (- 0,9 %).</w:t>
      </w:r>
    </w:p>
    <w:p w:rsidR="005700D3" w:rsidRPr="005700D3" w:rsidRDefault="005700D3" w:rsidP="005700D3">
      <w:pPr>
        <w:pStyle w:val="BodyAudi"/>
        <w:rPr>
          <w:lang w:val="fr-BE"/>
        </w:rPr>
      </w:pPr>
    </w:p>
    <w:p w:rsidR="005700D3" w:rsidRPr="005700D3" w:rsidRDefault="005700D3" w:rsidP="005700D3">
      <w:pPr>
        <w:pStyle w:val="BodyAudi"/>
        <w:rPr>
          <w:lang w:val="fr-BE"/>
        </w:rPr>
      </w:pPr>
      <w:r w:rsidRPr="005700D3">
        <w:rPr>
          <w:lang w:val="fr-BE"/>
        </w:rPr>
        <w:t xml:space="preserve">« Comme nous nous y attendions, 2018 a été une année extrêmement difficile en raison du lancement de la plus grande campagne de l’histoire d’Audi en termes de modèles et de technologie, qui est en outre arrivée en même temps que l’introduction de la norme WLTP », explique Bram </w:t>
      </w:r>
      <w:proofErr w:type="spellStart"/>
      <w:r w:rsidRPr="005700D3">
        <w:rPr>
          <w:lang w:val="fr-BE"/>
        </w:rPr>
        <w:t>Schot</w:t>
      </w:r>
      <w:proofErr w:type="spellEnd"/>
      <w:r w:rsidRPr="005700D3">
        <w:rPr>
          <w:lang w:val="fr-BE"/>
        </w:rPr>
        <w:t>, CEO et membre du conseil d’administration temporaire pour les ventes et le marketing d’Audi AG. « Les retours positifs sur nos derniers modèles démontrent la force de notre marque, alors que nous nous préparons pour les nouveaux défis qui nous attendent cette année. »</w:t>
      </w:r>
    </w:p>
    <w:p w:rsidR="005700D3" w:rsidRPr="005700D3" w:rsidRDefault="005700D3" w:rsidP="005700D3">
      <w:pPr>
        <w:pStyle w:val="BodyAudi"/>
        <w:rPr>
          <w:lang w:val="fr-BE"/>
        </w:rPr>
      </w:pPr>
    </w:p>
    <w:p w:rsidR="005700D3" w:rsidRPr="005700D3" w:rsidRDefault="005700D3" w:rsidP="005700D3">
      <w:pPr>
        <w:pStyle w:val="BodyAudi"/>
        <w:rPr>
          <w:lang w:val="fr-BE"/>
        </w:rPr>
      </w:pPr>
      <w:r w:rsidRPr="005700D3">
        <w:rPr>
          <w:lang w:val="fr-BE"/>
        </w:rPr>
        <w:t>En Chine, Audi a une nouvelle fois terminé l’année avec un chiffre record : 663</w:t>
      </w:r>
      <w:r w:rsidR="009C61A7">
        <w:rPr>
          <w:lang w:val="fr-BE"/>
        </w:rPr>
        <w:t>.</w:t>
      </w:r>
      <w:r w:rsidRPr="005700D3">
        <w:rPr>
          <w:lang w:val="fr-BE"/>
        </w:rPr>
        <w:t>049 véhicules ont été vendus, soit une hausse de 10,9 %. Le volume des ventes a plus que quintuplé au cours des dix dernières années. En 2018, le constructeur a écoulé plus de 10</w:t>
      </w:r>
      <w:r w:rsidR="009C61A7">
        <w:rPr>
          <w:lang w:val="fr-BE"/>
        </w:rPr>
        <w:t>.</w:t>
      </w:r>
      <w:r w:rsidRPr="005700D3">
        <w:rPr>
          <w:lang w:val="fr-BE"/>
        </w:rPr>
        <w:t>000 unités (+ 4,0 %) de la nouvelle version de l’A8L, son modèle porte-drapeau. 2019 sera également riche en nouveautés. Avec l’Audi Q2 L e-</w:t>
      </w:r>
      <w:proofErr w:type="spellStart"/>
      <w:r w:rsidRPr="005700D3">
        <w:rPr>
          <w:lang w:val="fr-BE"/>
        </w:rPr>
        <w:t>tron</w:t>
      </w:r>
      <w:proofErr w:type="spellEnd"/>
      <w:r w:rsidRPr="005700D3">
        <w:rPr>
          <w:lang w:val="fr-BE"/>
        </w:rPr>
        <w:t xml:space="preserve"> comme première voiture électrique produite localement et l’importation du modèle Audi e-</w:t>
      </w:r>
      <w:proofErr w:type="spellStart"/>
      <w:r w:rsidRPr="005700D3">
        <w:rPr>
          <w:lang w:val="fr-BE"/>
        </w:rPr>
        <w:t>tron</w:t>
      </w:r>
      <w:proofErr w:type="spellEnd"/>
      <w:r w:rsidRPr="005700D3">
        <w:rPr>
          <w:lang w:val="fr-BE"/>
        </w:rPr>
        <w:t>, Audi entend poser des jalons au cours du second semestre de l’année pour l’électrification de la gamme de modèles destinée à la Chine.</w:t>
      </w:r>
    </w:p>
    <w:p w:rsidR="005700D3" w:rsidRPr="005700D3" w:rsidRDefault="005700D3" w:rsidP="005700D3">
      <w:pPr>
        <w:pStyle w:val="BodyAudi"/>
        <w:rPr>
          <w:lang w:val="fr-BE"/>
        </w:rPr>
      </w:pPr>
    </w:p>
    <w:p w:rsidR="005700D3" w:rsidRPr="005700D3" w:rsidRDefault="005700D3" w:rsidP="005700D3">
      <w:pPr>
        <w:pStyle w:val="BodyAudi"/>
        <w:rPr>
          <w:lang w:val="fr-BE"/>
        </w:rPr>
      </w:pPr>
      <w:r w:rsidRPr="005700D3">
        <w:rPr>
          <w:lang w:val="fr-BE"/>
        </w:rPr>
        <w:t>Les nouvelles générations des modèles, les nombreuses incertitudes politiques et économiques ainsi que l’intégration de la nouvelle norme WLTP ont marqué les activités d’Audi en Europe en 2018. Les ventes de tous les modèles sur le Vieux Continent ont diminué de 13,6 % pour atteindre 743</w:t>
      </w:r>
      <w:r w:rsidR="009C61A7">
        <w:rPr>
          <w:lang w:val="fr-BE"/>
        </w:rPr>
        <w:t>.</w:t>
      </w:r>
      <w:r w:rsidRPr="005700D3">
        <w:rPr>
          <w:lang w:val="fr-BE"/>
        </w:rPr>
        <w:t>600 unités écoulées sur l’année entière. Sur le marché belge également, les ventes d’Audi ont reculé de 13,84 % pour s’établir à 28</w:t>
      </w:r>
      <w:r w:rsidR="009C61A7">
        <w:rPr>
          <w:lang w:val="fr-BE"/>
        </w:rPr>
        <w:t>.</w:t>
      </w:r>
      <w:r w:rsidRPr="005700D3">
        <w:rPr>
          <w:lang w:val="fr-BE"/>
        </w:rPr>
        <w:t>710 véhicules vendus. Avec</w:t>
      </w:r>
      <w:bookmarkStart w:id="0" w:name="_GoBack"/>
      <w:bookmarkEnd w:id="0"/>
      <w:r w:rsidRPr="005700D3">
        <w:rPr>
          <w:lang w:val="fr-BE"/>
        </w:rPr>
        <w:t xml:space="preserve"> 16</w:t>
      </w:r>
      <w:r w:rsidR="009C61A7">
        <w:rPr>
          <w:lang w:val="fr-BE"/>
        </w:rPr>
        <w:t>.</w:t>
      </w:r>
      <w:r w:rsidRPr="005700D3">
        <w:rPr>
          <w:lang w:val="fr-BE"/>
        </w:rPr>
        <w:t xml:space="preserve">000 </w:t>
      </w:r>
      <w:proofErr w:type="spellStart"/>
      <w:r w:rsidRPr="005700D3">
        <w:rPr>
          <w:lang w:val="fr-BE"/>
        </w:rPr>
        <w:t>préréservations</w:t>
      </w:r>
      <w:proofErr w:type="spellEnd"/>
      <w:r w:rsidRPr="005700D3">
        <w:rPr>
          <w:lang w:val="fr-BE"/>
        </w:rPr>
        <w:t>,</w:t>
      </w:r>
      <w:r w:rsidR="00773D10">
        <w:rPr>
          <w:lang w:val="fr-BE"/>
        </w:rPr>
        <w:t xml:space="preserve"> dont plus de 700 en Belgique, </w:t>
      </w:r>
      <w:r w:rsidRPr="005700D3">
        <w:rPr>
          <w:lang w:val="fr-BE"/>
        </w:rPr>
        <w:t xml:space="preserve"> l’Audi e-</w:t>
      </w:r>
      <w:proofErr w:type="spellStart"/>
      <w:r w:rsidRPr="005700D3">
        <w:rPr>
          <w:lang w:val="fr-BE"/>
        </w:rPr>
        <w:t>tron</w:t>
      </w:r>
      <w:proofErr w:type="spellEnd"/>
      <w:r w:rsidRPr="005700D3">
        <w:rPr>
          <w:lang w:val="fr-BE"/>
        </w:rPr>
        <w:t xml:space="preserve"> a fait sensation parmi les clients européens. Le constructeur met tout en œuvre pour obtenir les homologations de ses nouveaux modèles. Semaine après semaine, des variantes moteur/transmission supplémentaires sont disponibles dans le configurateur. </w:t>
      </w:r>
    </w:p>
    <w:p w:rsidR="005700D3" w:rsidRPr="005700D3" w:rsidRDefault="005700D3" w:rsidP="005700D3">
      <w:pPr>
        <w:pStyle w:val="BodyAudi"/>
        <w:rPr>
          <w:lang w:val="fr-BE"/>
        </w:rPr>
      </w:pPr>
    </w:p>
    <w:p w:rsidR="005700D3" w:rsidRPr="005700D3" w:rsidRDefault="005700D3" w:rsidP="005700D3">
      <w:pPr>
        <w:pStyle w:val="BodyAudi"/>
        <w:rPr>
          <w:lang w:val="fr-BE"/>
        </w:rPr>
      </w:pPr>
      <w:r w:rsidRPr="005700D3">
        <w:rPr>
          <w:lang w:val="fr-BE"/>
        </w:rPr>
        <w:t>Aux États-Unis, Audi a à nouveau affiché des très bons résultats en 2018 en terminant l’année avec 223</w:t>
      </w:r>
      <w:r w:rsidR="009C61A7">
        <w:rPr>
          <w:lang w:val="fr-BE"/>
        </w:rPr>
        <w:t>.</w:t>
      </w:r>
      <w:r w:rsidRPr="005700D3">
        <w:rPr>
          <w:lang w:val="fr-BE"/>
        </w:rPr>
        <w:t>323 véhicules écoulés, chiffre légèrement inférieur à celui de 2017 (- 1,4 %). Dans le pays, la gamme « Q » en particulier a significativement stimulé les ventes. La demande pour les tout-terrain sportifs a enregistré une croissance supérieure à la moyenne de 8,3 % pour s’établir à 126</w:t>
      </w:r>
      <w:r w:rsidR="009C61A7">
        <w:rPr>
          <w:lang w:val="fr-BE"/>
        </w:rPr>
        <w:t>.</w:t>
      </w:r>
      <w:r w:rsidRPr="005700D3">
        <w:rPr>
          <w:lang w:val="fr-BE"/>
        </w:rPr>
        <w:t>252 unités. Pour la première fois dans l’histoire d’Audi of America, les SUV représentaient 57 % des livraisons. Le modèle « Q » le plus populaire est le Q5, avec 21 % d’augmentation (pour atteindre 69</w:t>
      </w:r>
      <w:r w:rsidR="009C61A7">
        <w:rPr>
          <w:lang w:val="fr-BE"/>
        </w:rPr>
        <w:t>.</w:t>
      </w:r>
      <w:r w:rsidRPr="005700D3">
        <w:rPr>
          <w:lang w:val="fr-BE"/>
        </w:rPr>
        <w:t>978 véhicules).</w:t>
      </w:r>
    </w:p>
    <w:p w:rsidR="005700D3" w:rsidRPr="005700D3" w:rsidRDefault="005700D3" w:rsidP="005700D3">
      <w:pPr>
        <w:rPr>
          <w:lang w:val="fr-BE"/>
        </w:rPr>
      </w:pPr>
    </w:p>
    <w:tbl>
      <w:tblPr>
        <w:tblW w:w="0" w:type="auto"/>
        <w:tblInd w:w="117" w:type="dxa"/>
        <w:tblLayout w:type="fixed"/>
        <w:tblCellMar>
          <w:left w:w="0" w:type="dxa"/>
          <w:right w:w="0" w:type="dxa"/>
        </w:tblCellMar>
        <w:tblLook w:val="01E0" w:firstRow="1" w:lastRow="1" w:firstColumn="1" w:lastColumn="1" w:noHBand="0" w:noVBand="0"/>
      </w:tblPr>
      <w:tblGrid>
        <w:gridCol w:w="1560"/>
        <w:gridCol w:w="1062"/>
        <w:gridCol w:w="1134"/>
        <w:gridCol w:w="924"/>
        <w:gridCol w:w="1260"/>
        <w:gridCol w:w="1080"/>
        <w:gridCol w:w="900"/>
      </w:tblGrid>
      <w:tr w:rsidR="005700D3" w:rsidRPr="00CF1209" w:rsidTr="00E866A8">
        <w:trPr>
          <w:trHeight w:hRule="exact" w:val="490"/>
        </w:trPr>
        <w:tc>
          <w:tcPr>
            <w:tcW w:w="15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proofErr w:type="spellStart"/>
            <w:r>
              <w:t>Ventes</w:t>
            </w:r>
            <w:proofErr w:type="spellEnd"/>
            <w:r>
              <w:t xml:space="preserve"> AUDI AG</w:t>
            </w:r>
          </w:p>
        </w:tc>
        <w:tc>
          <w:tcPr>
            <w:tcW w:w="3120" w:type="dxa"/>
            <w:gridSpan w:val="3"/>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xml:space="preserve">En </w:t>
            </w:r>
            <w:proofErr w:type="spellStart"/>
            <w:r>
              <w:t>décembre</w:t>
            </w:r>
            <w:proofErr w:type="spellEnd"/>
          </w:p>
        </w:tc>
        <w:tc>
          <w:tcPr>
            <w:tcW w:w="3240" w:type="dxa"/>
            <w:gridSpan w:val="3"/>
            <w:tcBorders>
              <w:top w:val="single" w:sz="5" w:space="0" w:color="000000"/>
              <w:left w:val="single" w:sz="5" w:space="0" w:color="000000"/>
              <w:bottom w:val="single" w:sz="5" w:space="0" w:color="000000"/>
              <w:right w:val="single" w:sz="5" w:space="0" w:color="000000"/>
            </w:tcBorders>
          </w:tcPr>
          <w:p w:rsidR="005700D3" w:rsidRPr="00CF1209" w:rsidRDefault="005700D3" w:rsidP="00E866A8">
            <w:proofErr w:type="spellStart"/>
            <w:r>
              <w:t>Cumulées</w:t>
            </w:r>
            <w:proofErr w:type="spellEnd"/>
          </w:p>
        </w:tc>
      </w:tr>
      <w:tr w:rsidR="005700D3" w:rsidRPr="00CF1209" w:rsidTr="00E866A8">
        <w:trPr>
          <w:trHeight w:hRule="exact" w:val="595"/>
        </w:trPr>
        <w:tc>
          <w:tcPr>
            <w:tcW w:w="15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tc>
        <w:tc>
          <w:tcPr>
            <w:tcW w:w="1062"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2018</w:t>
            </w:r>
          </w:p>
        </w:tc>
        <w:tc>
          <w:tcPr>
            <w:tcW w:w="113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2017</w:t>
            </w:r>
          </w:p>
        </w:tc>
        <w:tc>
          <w:tcPr>
            <w:tcW w:w="92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Par rapport à 2017</w:t>
            </w:r>
          </w:p>
        </w:tc>
        <w:tc>
          <w:tcPr>
            <w:tcW w:w="12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2018</w:t>
            </w:r>
          </w:p>
        </w:tc>
        <w:tc>
          <w:tcPr>
            <w:tcW w:w="108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2017</w:t>
            </w:r>
          </w:p>
        </w:tc>
        <w:tc>
          <w:tcPr>
            <w:tcW w:w="90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Par rapport à 2017</w:t>
            </w:r>
          </w:p>
        </w:tc>
      </w:tr>
      <w:tr w:rsidR="005700D3" w:rsidRPr="00CF1209" w:rsidTr="00E866A8">
        <w:trPr>
          <w:trHeight w:hRule="exact" w:val="371"/>
        </w:trPr>
        <w:tc>
          <w:tcPr>
            <w:tcW w:w="15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Monde</w:t>
            </w:r>
          </w:p>
        </w:tc>
        <w:tc>
          <w:tcPr>
            <w:tcW w:w="1062"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154 550</w:t>
            </w:r>
          </w:p>
        </w:tc>
        <w:tc>
          <w:tcPr>
            <w:tcW w:w="113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180 236</w:t>
            </w:r>
          </w:p>
        </w:tc>
        <w:tc>
          <w:tcPr>
            <w:tcW w:w="92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- 14,3 %</w:t>
            </w:r>
          </w:p>
        </w:tc>
        <w:tc>
          <w:tcPr>
            <w:tcW w:w="12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1 812 500</w:t>
            </w:r>
          </w:p>
        </w:tc>
        <w:tc>
          <w:tcPr>
            <w:tcW w:w="108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1 878 105</w:t>
            </w:r>
          </w:p>
        </w:tc>
        <w:tc>
          <w:tcPr>
            <w:tcW w:w="90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- 3,5 %</w:t>
            </w:r>
          </w:p>
        </w:tc>
      </w:tr>
      <w:tr w:rsidR="005700D3" w:rsidRPr="00CF1209" w:rsidTr="00E866A8">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Europe</w:t>
            </w:r>
          </w:p>
        </w:tc>
        <w:tc>
          <w:tcPr>
            <w:tcW w:w="1062"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51 500</w:t>
            </w:r>
          </w:p>
        </w:tc>
        <w:tc>
          <w:tcPr>
            <w:tcW w:w="113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65 132</w:t>
            </w:r>
          </w:p>
        </w:tc>
        <w:tc>
          <w:tcPr>
            <w:tcW w:w="92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- 20,9 %</w:t>
            </w:r>
          </w:p>
        </w:tc>
        <w:tc>
          <w:tcPr>
            <w:tcW w:w="12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743 600</w:t>
            </w:r>
          </w:p>
        </w:tc>
        <w:tc>
          <w:tcPr>
            <w:tcW w:w="108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860 624</w:t>
            </w:r>
          </w:p>
        </w:tc>
        <w:tc>
          <w:tcPr>
            <w:tcW w:w="90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- 13,6 %</w:t>
            </w:r>
          </w:p>
        </w:tc>
      </w:tr>
      <w:tr w:rsidR="005700D3" w:rsidRPr="00CF1209" w:rsidTr="00E866A8">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xml:space="preserve">- </w:t>
            </w:r>
            <w:proofErr w:type="spellStart"/>
            <w:r>
              <w:t>Allemagne</w:t>
            </w:r>
            <w:proofErr w:type="spellEnd"/>
          </w:p>
        </w:tc>
        <w:tc>
          <w:tcPr>
            <w:tcW w:w="1062"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16 937</w:t>
            </w:r>
          </w:p>
        </w:tc>
        <w:tc>
          <w:tcPr>
            <w:tcW w:w="113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18 815</w:t>
            </w:r>
          </w:p>
        </w:tc>
        <w:tc>
          <w:tcPr>
            <w:tcW w:w="92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- 10,0 %</w:t>
            </w:r>
          </w:p>
        </w:tc>
        <w:tc>
          <w:tcPr>
            <w:tcW w:w="12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260 456</w:t>
            </w:r>
          </w:p>
        </w:tc>
        <w:tc>
          <w:tcPr>
            <w:tcW w:w="108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294 544</w:t>
            </w:r>
          </w:p>
        </w:tc>
        <w:tc>
          <w:tcPr>
            <w:tcW w:w="90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- 11,6 %</w:t>
            </w:r>
          </w:p>
        </w:tc>
      </w:tr>
      <w:tr w:rsidR="005700D3" w:rsidRPr="00CF1209" w:rsidTr="00E866A8">
        <w:trPr>
          <w:trHeight w:hRule="exact" w:val="371"/>
        </w:trPr>
        <w:tc>
          <w:tcPr>
            <w:tcW w:w="15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xml:space="preserve">- </w:t>
            </w:r>
            <w:proofErr w:type="spellStart"/>
            <w:r>
              <w:t>Royaume</w:t>
            </w:r>
            <w:proofErr w:type="spellEnd"/>
            <w:r>
              <w:t>-Uni</w:t>
            </w:r>
          </w:p>
        </w:tc>
        <w:tc>
          <w:tcPr>
            <w:tcW w:w="1062"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6 314</w:t>
            </w:r>
          </w:p>
        </w:tc>
        <w:tc>
          <w:tcPr>
            <w:tcW w:w="113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10 631</w:t>
            </w:r>
          </w:p>
        </w:tc>
        <w:tc>
          <w:tcPr>
            <w:tcW w:w="92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- 40,6 %</w:t>
            </w:r>
          </w:p>
        </w:tc>
        <w:tc>
          <w:tcPr>
            <w:tcW w:w="12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143 716</w:t>
            </w:r>
          </w:p>
        </w:tc>
        <w:tc>
          <w:tcPr>
            <w:tcW w:w="108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175 217</w:t>
            </w:r>
          </w:p>
        </w:tc>
        <w:tc>
          <w:tcPr>
            <w:tcW w:w="90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- 18,0 %</w:t>
            </w:r>
          </w:p>
        </w:tc>
      </w:tr>
      <w:tr w:rsidR="005700D3" w:rsidRPr="00CF1209" w:rsidTr="00E866A8">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France</w:t>
            </w:r>
          </w:p>
        </w:tc>
        <w:tc>
          <w:tcPr>
            <w:tcW w:w="1062"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4 186</w:t>
            </w:r>
          </w:p>
        </w:tc>
        <w:tc>
          <w:tcPr>
            <w:tcW w:w="113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6 397</w:t>
            </w:r>
          </w:p>
        </w:tc>
        <w:tc>
          <w:tcPr>
            <w:tcW w:w="92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- 34,6 %</w:t>
            </w:r>
          </w:p>
        </w:tc>
        <w:tc>
          <w:tcPr>
            <w:tcW w:w="12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51 710</w:t>
            </w:r>
          </w:p>
        </w:tc>
        <w:tc>
          <w:tcPr>
            <w:tcW w:w="108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63 980</w:t>
            </w:r>
          </w:p>
        </w:tc>
        <w:tc>
          <w:tcPr>
            <w:tcW w:w="90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- 19,2 %</w:t>
            </w:r>
          </w:p>
        </w:tc>
      </w:tr>
      <w:tr w:rsidR="005700D3" w:rsidRPr="00CF1209" w:rsidTr="00E866A8">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xml:space="preserve">- </w:t>
            </w:r>
            <w:proofErr w:type="spellStart"/>
            <w:r>
              <w:t>Italie</w:t>
            </w:r>
            <w:proofErr w:type="spellEnd"/>
          </w:p>
        </w:tc>
        <w:tc>
          <w:tcPr>
            <w:tcW w:w="1062"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7 554</w:t>
            </w:r>
          </w:p>
        </w:tc>
        <w:tc>
          <w:tcPr>
            <w:tcW w:w="113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5 390</w:t>
            </w:r>
          </w:p>
        </w:tc>
        <w:tc>
          <w:tcPr>
            <w:tcW w:w="92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+ 40,1 %</w:t>
            </w:r>
          </w:p>
        </w:tc>
        <w:tc>
          <w:tcPr>
            <w:tcW w:w="12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62 256</w:t>
            </w:r>
          </w:p>
        </w:tc>
        <w:tc>
          <w:tcPr>
            <w:tcW w:w="108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68 954</w:t>
            </w:r>
          </w:p>
        </w:tc>
        <w:tc>
          <w:tcPr>
            <w:tcW w:w="90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- 9,7 %</w:t>
            </w:r>
          </w:p>
        </w:tc>
      </w:tr>
      <w:tr w:rsidR="005700D3" w:rsidRPr="00CF1209" w:rsidTr="00E866A8">
        <w:trPr>
          <w:trHeight w:hRule="exact" w:val="371"/>
        </w:trPr>
        <w:tc>
          <w:tcPr>
            <w:tcW w:w="15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xml:space="preserve">- </w:t>
            </w:r>
            <w:proofErr w:type="spellStart"/>
            <w:r>
              <w:t>Espagne</w:t>
            </w:r>
            <w:proofErr w:type="spellEnd"/>
          </w:p>
        </w:tc>
        <w:tc>
          <w:tcPr>
            <w:tcW w:w="1062"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3 555</w:t>
            </w:r>
          </w:p>
        </w:tc>
        <w:tc>
          <w:tcPr>
            <w:tcW w:w="113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5 026</w:t>
            </w:r>
          </w:p>
        </w:tc>
        <w:tc>
          <w:tcPr>
            <w:tcW w:w="924"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- 29,3 %</w:t>
            </w:r>
          </w:p>
        </w:tc>
        <w:tc>
          <w:tcPr>
            <w:tcW w:w="126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53 105</w:t>
            </w:r>
          </w:p>
        </w:tc>
        <w:tc>
          <w:tcPr>
            <w:tcW w:w="108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56 083</w:t>
            </w:r>
          </w:p>
        </w:tc>
        <w:tc>
          <w:tcPr>
            <w:tcW w:w="900" w:type="dxa"/>
            <w:tcBorders>
              <w:top w:val="single" w:sz="5" w:space="0" w:color="000000"/>
              <w:left w:val="single" w:sz="5" w:space="0" w:color="000000"/>
              <w:bottom w:val="single" w:sz="5" w:space="0" w:color="000000"/>
              <w:right w:val="single" w:sz="5" w:space="0" w:color="000000"/>
            </w:tcBorders>
          </w:tcPr>
          <w:p w:rsidR="005700D3" w:rsidRPr="00CF1209" w:rsidRDefault="005700D3" w:rsidP="00E866A8">
            <w:r>
              <w:t>- 5,3 %</w:t>
            </w:r>
          </w:p>
        </w:tc>
      </w:tr>
      <w:tr w:rsidR="0000743E" w:rsidRPr="00CF1209" w:rsidTr="0000743E">
        <w:trPr>
          <w:trHeight w:hRule="exact" w:val="640"/>
        </w:trPr>
        <w:tc>
          <w:tcPr>
            <w:tcW w:w="1560" w:type="dxa"/>
            <w:tcBorders>
              <w:top w:val="single" w:sz="5" w:space="0" w:color="000000"/>
              <w:left w:val="single" w:sz="5" w:space="0" w:color="000000"/>
              <w:bottom w:val="single" w:sz="5" w:space="0" w:color="000000"/>
              <w:right w:val="single" w:sz="5" w:space="0" w:color="000000"/>
            </w:tcBorders>
          </w:tcPr>
          <w:p w:rsidR="0000743E" w:rsidRPr="00744C82" w:rsidRDefault="0000743E" w:rsidP="0000743E">
            <w:pPr>
              <w:rPr>
                <w:sz w:val="20"/>
                <w:szCs w:val="20"/>
              </w:rPr>
            </w:pPr>
            <w:r>
              <w:rPr>
                <w:sz w:val="20"/>
                <w:szCs w:val="20"/>
              </w:rPr>
              <w:t xml:space="preserve">- </w:t>
            </w:r>
            <w:proofErr w:type="spellStart"/>
            <w:r>
              <w:rPr>
                <w:sz w:val="20"/>
                <w:szCs w:val="20"/>
              </w:rPr>
              <w:t>Belgi</w:t>
            </w:r>
            <w:r w:rsidR="003A08D1">
              <w:rPr>
                <w:sz w:val="20"/>
                <w:szCs w:val="20"/>
              </w:rPr>
              <w:t>que</w:t>
            </w:r>
            <w:proofErr w:type="spellEnd"/>
            <w:r w:rsidR="003A08D1">
              <w:rPr>
                <w:sz w:val="20"/>
                <w:szCs w:val="20"/>
              </w:rPr>
              <w:t xml:space="preserve"> </w:t>
            </w:r>
            <w:r>
              <w:rPr>
                <w:sz w:val="20"/>
                <w:szCs w:val="20"/>
              </w:rPr>
              <w:t>(</w:t>
            </w:r>
            <w:proofErr w:type="spellStart"/>
            <w:r>
              <w:rPr>
                <w:sz w:val="20"/>
                <w:szCs w:val="20"/>
              </w:rPr>
              <w:t>immatriculations</w:t>
            </w:r>
            <w:proofErr w:type="spellEnd"/>
            <w:r>
              <w:rPr>
                <w:sz w:val="20"/>
                <w:szCs w:val="20"/>
              </w:rPr>
              <w:t>)</w:t>
            </w:r>
          </w:p>
        </w:tc>
        <w:tc>
          <w:tcPr>
            <w:tcW w:w="1062" w:type="dxa"/>
            <w:tcBorders>
              <w:top w:val="single" w:sz="5" w:space="0" w:color="000000"/>
              <w:left w:val="single" w:sz="5" w:space="0" w:color="000000"/>
              <w:bottom w:val="single" w:sz="5" w:space="0" w:color="000000"/>
              <w:right w:val="single" w:sz="5" w:space="0" w:color="000000"/>
            </w:tcBorders>
          </w:tcPr>
          <w:p w:rsidR="0000743E" w:rsidRDefault="0000743E" w:rsidP="0000743E">
            <w:r>
              <w:t>934</w:t>
            </w:r>
          </w:p>
        </w:tc>
        <w:tc>
          <w:tcPr>
            <w:tcW w:w="1134" w:type="dxa"/>
            <w:tcBorders>
              <w:top w:val="single" w:sz="5" w:space="0" w:color="000000"/>
              <w:left w:val="single" w:sz="5" w:space="0" w:color="000000"/>
              <w:bottom w:val="single" w:sz="5" w:space="0" w:color="000000"/>
              <w:right w:val="single" w:sz="5" w:space="0" w:color="000000"/>
            </w:tcBorders>
          </w:tcPr>
          <w:p w:rsidR="0000743E" w:rsidRDefault="0000743E" w:rsidP="0000743E">
            <w:r>
              <w:t>1.479</w:t>
            </w:r>
          </w:p>
        </w:tc>
        <w:tc>
          <w:tcPr>
            <w:tcW w:w="924" w:type="dxa"/>
            <w:tcBorders>
              <w:top w:val="single" w:sz="5" w:space="0" w:color="000000"/>
              <w:left w:val="single" w:sz="5" w:space="0" w:color="000000"/>
              <w:bottom w:val="single" w:sz="5" w:space="0" w:color="000000"/>
              <w:right w:val="single" w:sz="5" w:space="0" w:color="000000"/>
            </w:tcBorders>
          </w:tcPr>
          <w:p w:rsidR="0000743E" w:rsidRDefault="0000743E" w:rsidP="0000743E">
            <w:r>
              <w:t>-36,85%</w:t>
            </w:r>
          </w:p>
        </w:tc>
        <w:tc>
          <w:tcPr>
            <w:tcW w:w="1260" w:type="dxa"/>
            <w:tcBorders>
              <w:top w:val="single" w:sz="5" w:space="0" w:color="000000"/>
              <w:left w:val="single" w:sz="5" w:space="0" w:color="000000"/>
              <w:bottom w:val="single" w:sz="5" w:space="0" w:color="000000"/>
              <w:right w:val="single" w:sz="5" w:space="0" w:color="000000"/>
            </w:tcBorders>
          </w:tcPr>
          <w:p w:rsidR="0000743E" w:rsidRDefault="0000743E" w:rsidP="0000743E">
            <w:r>
              <w:t>28.710</w:t>
            </w:r>
          </w:p>
        </w:tc>
        <w:tc>
          <w:tcPr>
            <w:tcW w:w="1080" w:type="dxa"/>
            <w:tcBorders>
              <w:top w:val="single" w:sz="5" w:space="0" w:color="000000"/>
              <w:left w:val="single" w:sz="5" w:space="0" w:color="000000"/>
              <w:bottom w:val="single" w:sz="5" w:space="0" w:color="000000"/>
              <w:right w:val="single" w:sz="5" w:space="0" w:color="000000"/>
            </w:tcBorders>
          </w:tcPr>
          <w:p w:rsidR="0000743E" w:rsidRDefault="0000743E" w:rsidP="0000743E">
            <w:r>
              <w:t>33.323</w:t>
            </w:r>
          </w:p>
        </w:tc>
        <w:tc>
          <w:tcPr>
            <w:tcW w:w="900" w:type="dxa"/>
            <w:tcBorders>
              <w:top w:val="single" w:sz="5" w:space="0" w:color="000000"/>
              <w:left w:val="single" w:sz="5" w:space="0" w:color="000000"/>
              <w:bottom w:val="single" w:sz="5" w:space="0" w:color="000000"/>
              <w:right w:val="single" w:sz="5" w:space="0" w:color="000000"/>
            </w:tcBorders>
          </w:tcPr>
          <w:p w:rsidR="0000743E" w:rsidRDefault="0000743E" w:rsidP="0000743E">
            <w:r>
              <w:t>-13,84%</w:t>
            </w:r>
          </w:p>
        </w:tc>
      </w:tr>
      <w:tr w:rsidR="0000743E" w:rsidRPr="00CF1209" w:rsidTr="00E866A8">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proofErr w:type="spellStart"/>
            <w:r>
              <w:t>États-Unis</w:t>
            </w:r>
            <w:proofErr w:type="spellEnd"/>
          </w:p>
        </w:tc>
        <w:tc>
          <w:tcPr>
            <w:tcW w:w="1062"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22 765</w:t>
            </w:r>
          </w:p>
        </w:tc>
        <w:tc>
          <w:tcPr>
            <w:tcW w:w="1134"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26 977</w:t>
            </w:r>
          </w:p>
        </w:tc>
        <w:tc>
          <w:tcPr>
            <w:tcW w:w="924"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- 15,6 %</w:t>
            </w:r>
          </w:p>
        </w:tc>
        <w:tc>
          <w:tcPr>
            <w:tcW w:w="126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223 323</w:t>
            </w:r>
          </w:p>
        </w:tc>
        <w:tc>
          <w:tcPr>
            <w:tcW w:w="108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226 511</w:t>
            </w:r>
          </w:p>
        </w:tc>
        <w:tc>
          <w:tcPr>
            <w:tcW w:w="90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- 1,4 %</w:t>
            </w:r>
          </w:p>
        </w:tc>
      </w:tr>
      <w:tr w:rsidR="0000743E" w:rsidRPr="00CF1209" w:rsidTr="00E866A8">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proofErr w:type="spellStart"/>
            <w:r>
              <w:t>Mexique</w:t>
            </w:r>
            <w:proofErr w:type="spellEnd"/>
          </w:p>
        </w:tc>
        <w:tc>
          <w:tcPr>
            <w:tcW w:w="1062"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1 520</w:t>
            </w:r>
          </w:p>
        </w:tc>
        <w:tc>
          <w:tcPr>
            <w:tcW w:w="1134"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2 066</w:t>
            </w:r>
          </w:p>
        </w:tc>
        <w:tc>
          <w:tcPr>
            <w:tcW w:w="924"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- 26,4 %</w:t>
            </w:r>
          </w:p>
        </w:tc>
        <w:tc>
          <w:tcPr>
            <w:tcW w:w="126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14 781</w:t>
            </w:r>
          </w:p>
        </w:tc>
        <w:tc>
          <w:tcPr>
            <w:tcW w:w="108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15 051</w:t>
            </w:r>
          </w:p>
        </w:tc>
        <w:tc>
          <w:tcPr>
            <w:tcW w:w="90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- 1,8 %</w:t>
            </w:r>
          </w:p>
        </w:tc>
      </w:tr>
      <w:tr w:rsidR="0000743E" w:rsidRPr="00CF1209" w:rsidTr="00E866A8">
        <w:trPr>
          <w:trHeight w:hRule="exact" w:val="371"/>
        </w:trPr>
        <w:tc>
          <w:tcPr>
            <w:tcW w:w="156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proofErr w:type="spellStart"/>
            <w:r>
              <w:t>Brésil</w:t>
            </w:r>
            <w:proofErr w:type="spellEnd"/>
          </w:p>
        </w:tc>
        <w:tc>
          <w:tcPr>
            <w:tcW w:w="1062"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848</w:t>
            </w:r>
          </w:p>
        </w:tc>
        <w:tc>
          <w:tcPr>
            <w:tcW w:w="1134"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1 001</w:t>
            </w:r>
          </w:p>
        </w:tc>
        <w:tc>
          <w:tcPr>
            <w:tcW w:w="924"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- 15,3 %</w:t>
            </w:r>
          </w:p>
        </w:tc>
        <w:tc>
          <w:tcPr>
            <w:tcW w:w="126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8 810</w:t>
            </w:r>
          </w:p>
        </w:tc>
        <w:tc>
          <w:tcPr>
            <w:tcW w:w="108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10 035</w:t>
            </w:r>
          </w:p>
        </w:tc>
        <w:tc>
          <w:tcPr>
            <w:tcW w:w="90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- 12,2 %</w:t>
            </w:r>
          </w:p>
        </w:tc>
      </w:tr>
      <w:tr w:rsidR="0000743E" w:rsidRPr="00CF1209" w:rsidTr="000B4995">
        <w:trPr>
          <w:trHeight w:hRule="exact" w:val="1067"/>
        </w:trPr>
        <w:tc>
          <w:tcPr>
            <w:tcW w:w="156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proofErr w:type="spellStart"/>
            <w:r>
              <w:lastRenderedPageBreak/>
              <w:t>Chine</w:t>
            </w:r>
            <w:proofErr w:type="spellEnd"/>
            <w:r>
              <w:t xml:space="preserve"> continentale</w:t>
            </w:r>
          </w:p>
          <w:p w:rsidR="0000743E" w:rsidRPr="00CF1209" w:rsidRDefault="0000743E" w:rsidP="0000743E">
            <w:r>
              <w:t>(+ Hong Kong)</w:t>
            </w:r>
          </w:p>
        </w:tc>
        <w:tc>
          <w:tcPr>
            <w:tcW w:w="1062"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65 598</w:t>
            </w:r>
          </w:p>
        </w:tc>
        <w:tc>
          <w:tcPr>
            <w:tcW w:w="1134"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69 160</w:t>
            </w:r>
          </w:p>
        </w:tc>
        <w:tc>
          <w:tcPr>
            <w:tcW w:w="924"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- 5,2 %</w:t>
            </w:r>
          </w:p>
        </w:tc>
        <w:tc>
          <w:tcPr>
            <w:tcW w:w="126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663 049</w:t>
            </w:r>
          </w:p>
        </w:tc>
        <w:tc>
          <w:tcPr>
            <w:tcW w:w="108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597 866</w:t>
            </w:r>
          </w:p>
        </w:tc>
        <w:tc>
          <w:tcPr>
            <w:tcW w:w="900" w:type="dxa"/>
            <w:tcBorders>
              <w:top w:val="single" w:sz="5" w:space="0" w:color="000000"/>
              <w:left w:val="single" w:sz="5" w:space="0" w:color="000000"/>
              <w:bottom w:val="single" w:sz="5" w:space="0" w:color="000000"/>
              <w:right w:val="single" w:sz="5" w:space="0" w:color="000000"/>
            </w:tcBorders>
          </w:tcPr>
          <w:p w:rsidR="0000743E" w:rsidRPr="00CF1209" w:rsidRDefault="0000743E" w:rsidP="0000743E">
            <w:r>
              <w:t>+ 10,9 %</w:t>
            </w:r>
          </w:p>
        </w:tc>
      </w:tr>
    </w:tbl>
    <w:p w:rsidR="005700D3" w:rsidRPr="00CF1209" w:rsidRDefault="005700D3" w:rsidP="005700D3"/>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3D50ED"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xml:space="preserve">% en 2018. Audi se concentre sur le développement de nouveaux produits et de technologies durables pour la mobilité du futur. Entre 2019 et fin 2023, l’entreprise prévoit d’investir au total quelque 14 milliards d’euros principalement dans la mobilité électrique, la </w:t>
      </w:r>
      <w:r w:rsidR="0040378A">
        <w:rPr>
          <w:sz w:val="18"/>
          <w:szCs w:val="18"/>
        </w:rPr>
        <w:t>numérisation</w:t>
      </w:r>
      <w:r>
        <w:rPr>
          <w:sz w:val="18"/>
          <w:szCs w:val="18"/>
        </w:rPr>
        <w:t xml:space="preserve">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4DB" w:rsidRDefault="00A844DB" w:rsidP="00B44FE6">
      <w:pPr>
        <w:spacing w:after="0" w:line="240" w:lineRule="auto"/>
      </w:pPr>
      <w:r>
        <w:separator/>
      </w:r>
    </w:p>
  </w:endnote>
  <w:endnote w:type="continuationSeparator" w:id="0">
    <w:p w:rsidR="00A844DB" w:rsidRDefault="00A844DB" w:rsidP="00B44FE6">
      <w:pPr>
        <w:spacing w:after="0" w:line="240" w:lineRule="auto"/>
      </w:pPr>
      <w:r>
        <w:continuationSeparator/>
      </w:r>
    </w:p>
  </w:endnote>
  <w:endnote w:type="continuationNotice" w:id="1">
    <w:p w:rsidR="00A844DB" w:rsidRDefault="00A84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4DB" w:rsidRDefault="00A844DB" w:rsidP="00B44FE6">
      <w:pPr>
        <w:spacing w:after="0" w:line="240" w:lineRule="auto"/>
      </w:pPr>
      <w:r>
        <w:separator/>
      </w:r>
    </w:p>
  </w:footnote>
  <w:footnote w:type="continuationSeparator" w:id="0">
    <w:p w:rsidR="00A844DB" w:rsidRDefault="00A844DB" w:rsidP="00B44FE6">
      <w:pPr>
        <w:spacing w:after="0" w:line="240" w:lineRule="auto"/>
      </w:pPr>
      <w:r>
        <w:continuationSeparator/>
      </w:r>
    </w:p>
  </w:footnote>
  <w:footnote w:type="continuationNotice" w:id="1">
    <w:p w:rsidR="00A844DB" w:rsidRDefault="00A84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DB"/>
    <w:rsid w:val="0000743E"/>
    <w:rsid w:val="00070B0C"/>
    <w:rsid w:val="000B4995"/>
    <w:rsid w:val="000B6750"/>
    <w:rsid w:val="0025462E"/>
    <w:rsid w:val="003A08D1"/>
    <w:rsid w:val="003C6B7B"/>
    <w:rsid w:val="003D24F8"/>
    <w:rsid w:val="003D50ED"/>
    <w:rsid w:val="0040378A"/>
    <w:rsid w:val="004353BC"/>
    <w:rsid w:val="00443E9C"/>
    <w:rsid w:val="004A3296"/>
    <w:rsid w:val="004E6529"/>
    <w:rsid w:val="005700D3"/>
    <w:rsid w:val="005D2F6F"/>
    <w:rsid w:val="00672882"/>
    <w:rsid w:val="00762C00"/>
    <w:rsid w:val="00773D10"/>
    <w:rsid w:val="009C61A7"/>
    <w:rsid w:val="009D53A7"/>
    <w:rsid w:val="00A35D6F"/>
    <w:rsid w:val="00A77B79"/>
    <w:rsid w:val="00A844DB"/>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A3C5FE"/>
  <w15:chartTrackingRefBased/>
  <w15:docId w15:val="{ED006508-5C86-4F1C-BB40-7808E725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13</cp:revision>
  <cp:lastPrinted>2019-01-11T09:18:00Z</cp:lastPrinted>
  <dcterms:created xsi:type="dcterms:W3CDTF">2019-01-11T08:29:00Z</dcterms:created>
  <dcterms:modified xsi:type="dcterms:W3CDTF">2019-01-11T09:35:00Z</dcterms:modified>
</cp:coreProperties>
</file>